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6805ba34ea488f" /></Relationships>
</file>

<file path=word/document.xml><?xml version="1.0" encoding="utf-8"?>
<w:document xmlns:w="http://schemas.openxmlformats.org/wordprocessingml/2006/main">
  <w:body>
    <w:p>
      <w:r>
        <w:t>Z-0627.3</w:t>
      </w:r>
    </w:p>
    <w:p>
      <w:pPr>
        <w:jc w:val="center"/>
      </w:pPr>
      <w:r>
        <w:t>_______________________________________________</w:t>
      </w:r>
    </w:p>
    <w:p/>
    <w:p>
      <w:pPr>
        <w:jc w:val="center"/>
      </w:pPr>
      <w:r>
        <w:rPr>
          <w:b/>
        </w:rPr>
        <w:t>SENATE BILL 6058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Hunt, Kuderer, Liias, Mullet, Pedersen, Saldaña, Shewmake, and Stanford; by request of Department of Ecology</w:t>
      </w:r>
    </w:p>
    <w:p/>
    <w:p>
      <w:r>
        <w:rPr>
          <w:t xml:space="preserve">Read first time 01/09/24.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70A.65.310, and 70A.15.2200;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 </w:t>
      </w:r>
      <w:r>
        <w:rPr>
          <w:u w:val="single"/>
        </w:rPr>
        <w:t xml:space="preserve">If the department enters into a linkage agreement, the department must amend its rules to synchronize Washington's compliance periods with those of the linked jurisdiction or jurisdictions.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for a resource located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w:t>
      </w:r>
      <w:r>
        <w:t>((</w:t>
      </w:r>
      <w:r>
        <w:rPr>
          <w:strike/>
        </w:rPr>
        <w:t xml:space="preserve">"Imported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strike/>
        </w:rPr>
        <w:t xml:space="preserve">(e)</w:t>
      </w:r>
      <w:r>
        <w:t>))</w:t>
      </w:r>
      <w:r>
        <w:rPr/>
        <w:t xml:space="preserv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 or</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any calendar year from 2027 through 2029,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w:t>
      </w:r>
      <w:r>
        <w:t>((</w:t>
      </w:r>
      <w:r>
        <w:rPr>
          <w:strike/>
        </w:rPr>
        <w:t xml:space="preserve">beginning in January, 2027,</w:t>
      </w:r>
      <w:r>
        <w:t>))</w:t>
      </w:r>
      <w:r>
        <w:rPr/>
        <w:t xml:space="preserve">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w:t>
      </w:r>
      <w:r>
        <w:t>((</w:t>
      </w:r>
      <w:r>
        <w:rPr>
          <w:strike/>
        </w:rPr>
        <w:t xml:space="preserve">four-year</w:t>
      </w:r>
      <w:r>
        <w:t>))</w:t>
      </w:r>
      <w:r>
        <w:rPr/>
        <w:t xml:space="preserve"> compliance period that begins January 1, 2023, these facilities must be awarded no cost allowances equal to 100 percent of the facility's mass-based baseline. For each year during the second </w:t>
      </w:r>
      <w:r>
        <w:t>((</w:t>
      </w:r>
      <w:r>
        <w:rPr>
          <w:strike/>
        </w:rPr>
        <w:t xml:space="preserve">four-year</w:t>
      </w:r>
      <w:r>
        <w:t>))</w:t>
      </w:r>
      <w:r>
        <w:rPr/>
        <w:t xml:space="preserve"> compliance period </w:t>
      </w:r>
      <w:r>
        <w:t>((</w:t>
      </w:r>
      <w:r>
        <w:rPr>
          <w:strike/>
        </w:rPr>
        <w:t xml:space="preserve">that begins January 1, 2027</w:t>
      </w:r>
      <w:r>
        <w:t>))</w:t>
      </w:r>
      <w:r>
        <w:rPr/>
        <w:t xml:space="preserve">, these facilities must be awarded no cost allowances equal to 97 percent of the facility's mass-based baseline. For each year during the third compliance period </w:t>
      </w:r>
      <w:r>
        <w:t>((</w:t>
      </w:r>
      <w:r>
        <w:rPr>
          <w:strike/>
        </w:rPr>
        <w:t xml:space="preserve">that begins January 1, 2031</w:t>
      </w:r>
      <w:r>
        <w:t>))</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w:t>
      </w:r>
      <w:r>
        <w:t>((</w:t>
      </w:r>
      <w:r>
        <w:rPr>
          <w:strike/>
        </w:rPr>
        <w:t xml:space="preserve">four-year</w:t>
      </w:r>
      <w:r>
        <w:t>))</w:t>
      </w:r>
      <w:r>
        <w:rPr/>
        <w:t xml:space="preserve">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w:t>
      </w:r>
      <w:r>
        <w:t>((</w:t>
      </w:r>
      <w:r>
        <w:rPr>
          <w:strike/>
        </w:rPr>
        <w:t xml:space="preserve">four-year</w:t>
      </w:r>
      <w:r>
        <w:t>))</w:t>
      </w:r>
      <w:r>
        <w:rPr/>
        <w:t xml:space="preserve"> compliance period </w:t>
      </w:r>
      <w:r>
        <w:t>((</w:t>
      </w:r>
      <w:r>
        <w:rPr>
          <w:strike/>
        </w:rPr>
        <w:t xml:space="preserve">that begins January 1, 2027</w:t>
      </w:r>
      <w:r>
        <w:t>))</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w:t>
      </w:r>
      <w:r>
        <w:t>((</w:t>
      </w:r>
      <w:r>
        <w:rPr>
          <w:strike/>
        </w:rPr>
        <w:t xml:space="preserve">four-year</w:t>
      </w:r>
      <w:r>
        <w:t>))</w:t>
      </w:r>
      <w:r>
        <w:rPr/>
        <w:t xml:space="preserve"> compliance period </w:t>
      </w:r>
      <w:r>
        <w:t>((</w:t>
      </w:r>
      <w:r>
        <w:rPr>
          <w:strike/>
        </w:rPr>
        <w:t xml:space="preserve">that begins January 1, 2031</w:t>
      </w:r>
      <w:r>
        <w:t>))</w:t>
      </w:r>
      <w:r>
        <w:rPr/>
        <w:t xml:space="preserve">,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 Prior to the beginning of either the second, third, or subsequent compliance periods,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third </w:t>
      </w:r>
      <w:r>
        <w:t>((</w:t>
      </w:r>
      <w:r>
        <w:rPr>
          <w:strike/>
        </w:rPr>
        <w:t xml:space="preserve">four-year</w:t>
      </w:r>
      <w:r>
        <w:t>))</w:t>
      </w:r>
      <w:r>
        <w:rPr/>
        <w:t xml:space="preserve"> compliance period </w:t>
      </w:r>
      <w:r>
        <w:t>((</w:t>
      </w:r>
      <w:r>
        <w:rPr>
          <w:strike/>
        </w:rPr>
        <w:t xml:space="preserve">that begins January 1, 2031</w:t>
      </w:r>
      <w:r>
        <w:t>))</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chapter 316, Laws of 2021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w:t>
      </w:r>
      <w:r>
        <w:t>((</w:t>
      </w:r>
      <w:r>
        <w:rPr>
          <w:strike/>
        </w:rPr>
        <w:t xml:space="preserve">Have</w:t>
      </w:r>
      <w:r>
        <w:t>))</w:t>
      </w:r>
      <w:r>
        <w:rPr/>
        <w:t xml:space="preserve"> </w:t>
      </w:r>
      <w:r>
        <w:rPr>
          <w:u w:val="single"/>
        </w:rPr>
        <w:t xml:space="preserve">For offset credits issued by the department, have</w:t>
      </w:r>
      <w:r>
        <w:rPr/>
        <w:t xml:space="preserve"> been issued for reporting periods wholly after July 25, 2021, or within two years prior to July 25, 2021</w:t>
      </w:r>
      <w:r>
        <w:rPr>
          <w:u w:val="single"/>
        </w:rPr>
        <w:t xml:space="preserve">, and be consistent with offset protocols adopted by the department</w:t>
      </w:r>
      <w:r>
        <w:rPr/>
        <w:t xml:space="preserve">;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strike/>
        </w:rPr>
        <w:t xml:space="preserve">(8)</w:t>
      </w:r>
      <w:r>
        <w:t>))</w:t>
      </w:r>
      <w:r>
        <w:rPr/>
        <w:t xml:space="preserve">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NumType w:start="1"/>
      <w:footerReference xmlns:r="http://schemas.openxmlformats.org/officeDocument/2006/relationships" r:id="Rb78ea36df32645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10a23f85bb498f" /><Relationship Type="http://schemas.openxmlformats.org/officeDocument/2006/relationships/footer" Target="/word/footer1.xml" Id="Rb78ea36df32645f2" /></Relationships>
</file>