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d26ebaf6243fa" /></Relationships>
</file>

<file path=word/document.xml><?xml version="1.0" encoding="utf-8"?>
<w:document xmlns:w="http://schemas.openxmlformats.org/wordprocessingml/2006/main">
  <w:body>
    <w:p>
      <w:r>
        <w:t>S-1359.2</w:t>
      </w:r>
    </w:p>
    <w:p>
      <w:pPr>
        <w:jc w:val="center"/>
      </w:pPr>
      <w:r>
        <w:t>_______________________________________________</w:t>
      </w:r>
    </w:p>
    <w:p/>
    <w:p>
      <w:pPr>
        <w:jc w:val="center"/>
      </w:pPr>
      <w:r>
        <w:rPr>
          <w:b/>
        </w:rPr>
        <w:t>SUBSTITUTE SENATE BILL 5380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Billig, Boehnke, Cleveland, Frame, Keiser, Kuderer, Liias, Pedersen, Valdez, and C. Wilson)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energy siting; adding new sections to chapter 43.21C RCW; adding a new section to chapter 36.70B RCW; adding a new section to chapter 36.01 RCW; adding new chapters to Title 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least-conflict sites,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least-conflict siting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 and</w:t>
      </w:r>
    </w:p>
    <w:p>
      <w:pPr>
        <w:spacing w:before="0" w:after="0" w:line="408" w:lineRule="exact"/>
        <w:ind w:left="0" w:right="0" w:firstLine="576"/>
        <w:jc w:val="left"/>
      </w:pPr>
      <w:r>
        <w:rPr/>
        <w:t xml:space="preserve">(k)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made from nonpetroleum sources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 and</w:t>
      </w:r>
    </w:p>
    <w:p>
      <w:pPr>
        <w:spacing w:before="0" w:after="0" w:line="408" w:lineRule="exact"/>
        <w:ind w:left="0" w:right="0" w:firstLine="576"/>
        <w:jc w:val="left"/>
      </w:pPr>
      <w:r>
        <w:rPr/>
        <w:t xml:space="preserve">(h) Semiconductors or semiconductor materials as defined in RCW 82.04.2404.</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meaningful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meaningful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other state agencies identified as likely to have a role in siting or permitting a project, must review applications received under section 202 of this act.</w:t>
      </w:r>
    </w:p>
    <w:p>
      <w:pPr>
        <w:spacing w:before="0" w:after="0" w:line="408" w:lineRule="exact"/>
        <w:ind w:left="0" w:right="0" w:firstLine="576"/>
        <w:jc w:val="left"/>
      </w:pPr>
      <w:r>
        <w:rPr/>
        <w:t xml:space="preserve">(b) The director of the department of commerce must determine within 60 days whether to designate an applicant's project as a clean energy project of statewide significance. The department of commerce may pause its review of an application and the applicability of the 60-day determination time frame under this subsection to request additional information from an applicant.</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meaningful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At the request of the project proponent, the department of ecology must notify any relevant federal agency or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The agreement should include benefits in addition to jobs or tax revenues resulting from the project. Approval of any benefit agreement or other legal document stipulating the benefits that the developer agrees to fund or furnish, in exchange for community support of the project, must be made by the local government legislative authority of the county, city, or town in which the project is proposed.</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within the project area.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within the project area. Discussions may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or a state agency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 or</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nonproject review by early identification of tribal rights, interests, or resources, including tribal cultural resources, potentially affected by the project type, and identifying solutions, when possible, to avoid, minimize, or mitigate any adverse effects on tribal rights, interests, or resources, including tribal cultural resources, based on environmental or permit review.</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 (b)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In order to encourage greater development and use of renewable energy, a county may not require an application for or the acquisition of a grading permit or any other ministerial or discretionary permit for the following activities associated with a renewable energy project:</w:t>
      </w:r>
    </w:p>
    <w:p>
      <w:pPr>
        <w:spacing w:before="0" w:after="0" w:line="408" w:lineRule="exact"/>
        <w:ind w:left="0" w:right="0" w:firstLine="576"/>
        <w:jc w:val="left"/>
      </w:pPr>
      <w:r>
        <w:rPr/>
        <w:t xml:space="preserve"> (a) Site investigation work, including the installation of wind and solar resource evaluation equipment, exploratory excavations, and fill pads necessary for the project, design, environmental planning, or land use applications such as surveys, geotechnical or hydrogeological investigations, infiltration tests and other soil tests, and other related activities; and</w:t>
      </w:r>
    </w:p>
    <w:p>
      <w:pPr>
        <w:spacing w:before="0" w:after="0" w:line="408" w:lineRule="exact"/>
        <w:ind w:left="0" w:right="0" w:firstLine="576"/>
        <w:jc w:val="left"/>
      </w:pPr>
      <w:r>
        <w:rPr/>
        <w:t xml:space="preserve">(b) Clearing, grading, and excavation of less than 500 cubic yards of material for each location conducted on natural terrain with a slope flatter than one unit vertical in five units horizontal, undertaken to determine project feasibility and preliminary design details.</w:t>
      </w:r>
    </w:p>
    <w:p>
      <w:pPr>
        <w:spacing w:before="0" w:after="0" w:line="408" w:lineRule="exact"/>
        <w:ind w:left="0" w:right="0" w:firstLine="576"/>
        <w:jc w:val="left"/>
      </w:pPr>
      <w:r>
        <w:rPr/>
        <w:t xml:space="preserve">(2) The activities identified in subsection (1) of this section may be undertaken prior to issuance of discretionary land use permits, including conditional use permits.</w:t>
      </w:r>
    </w:p>
    <w:p>
      <w:pPr>
        <w:spacing w:before="0" w:after="0" w:line="408" w:lineRule="exact"/>
        <w:ind w:left="0" w:right="0" w:firstLine="576"/>
        <w:jc w:val="left"/>
      </w:pPr>
      <w:r>
        <w:rPr/>
        <w:t xml:space="preserve">(3) This section does not apply to activities involving work in-water or fill of wetlands.</w:t>
      </w:r>
    </w:p>
    <w:p>
      <w:pPr>
        <w:spacing w:before="0" w:after="0" w:line="408" w:lineRule="exact"/>
        <w:ind w:left="0" w:right="0" w:firstLine="576"/>
        <w:jc w:val="left"/>
      </w:pPr>
      <w:r>
        <w:rPr/>
        <w:t xml:space="preserve">(4) Local critical areas ordinances and state permitting requirements apply to activities in this section.</w:t>
      </w:r>
    </w:p>
    <w:p>
      <w:pPr>
        <w:spacing w:before="0" w:after="0" w:line="408" w:lineRule="exact"/>
        <w:ind w:left="0" w:right="0" w:firstLine="576"/>
        <w:jc w:val="left"/>
      </w:pPr>
      <w:r>
        <w:rPr/>
        <w:t xml:space="preserve">(5) The prohibitions on application requirements under this section apply only to a person who, prior to commencing the activities specified in subsection (1)(a) and (b) of this section, has inquired with the department of archaeology and historic preservation to obtain information on the probability or existence of tribal cultural resources, archaeological sites, and sacred sites within the potential site area. The department of archaeology and historic preservation must provide information to the person carrying out activities described in subsection (1) of this section regarding the federally recognized Indian tribes that would need to be contacted and that agencies would need to offer consultation to in the event that any project development permit applications were to proceed.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LEAST-CONFLICT PUMPED STORAGE SITING PROCESS.</w:t>
      </w:r>
      <w:r>
        <w:t xml:space="preserve">  </w:t>
      </w:r>
      <w:r>
        <w:rPr/>
        <w:t xml:space="preserve">(1) Washington State University energy program shall conduct a least-conflict pumped storage siting process for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areas where there is the least amount of potential conflict in the siting of pumped storage.</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and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siting process and creation of the map under this section does not supplant the need for project developers to conduct early and individual outreach to federally recognized Indian tribes.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least-conflict pumped storage process must be completed by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a42471f891e43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f1443a8894010" /><Relationship Type="http://schemas.openxmlformats.org/officeDocument/2006/relationships/footer" Target="/word/footer1.xml" Id="R6a42471f891e434e" /></Relationships>
</file>