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51c24c36c548e6" /></Relationships>
</file>

<file path=word/document.xml><?xml version="1.0" encoding="utf-8"?>
<w:document xmlns:w="http://schemas.openxmlformats.org/wordprocessingml/2006/main">
  <w:body>
    <w:p>
      <w:r>
        <w:rPr>
          <w:b/>
        </w:rPr>
        <w:r>
          <w:rPr/>
          <w:t xml:space="preserve">5284-S2.E</w:t>
        </w:r>
      </w:r>
      <w:r>
        <w:rPr>
          <w:b/>
        </w:rPr>
        <w:t xml:space="preserve"> </w:t>
        <w:t xml:space="preserve">AMH</w:t>
      </w:r>
      <w:r>
        <w:rPr>
          <w:b/>
        </w:rPr>
        <w:t xml:space="preserve"> </w:t>
        <w:r>
          <w:rPr/>
          <w:t xml:space="preserve">APP</w:t>
        </w:r>
      </w:r>
      <w:r>
        <w:rPr>
          <w:b/>
        </w:rPr>
        <w:t xml:space="preserve"> </w:t>
        <w:r>
          <w:rPr/>
          <w:t xml:space="preserve">H2754.1</w:t>
        </w:r>
      </w:r>
      <w:r>
        <w:rPr>
          <w:b/>
        </w:rPr>
        <w:t xml:space="preserve"> - NOT FOR FLOOR USE</w:t>
      </w:r>
    </w:p>
    <w:p>
      <w:pPr>
        <w:ind w:left="0" w:right="0" w:firstLine="576"/>
      </w:pPr>
      <w:r>
        <w:rPr/>
        <w:t xml:space="preserve"> </w:t>
      </w:r>
    </w:p>
    <w:p>
      <w:pPr>
        <w:spacing w:before="480" w:after="0" w:line="408" w:lineRule="exact"/>
      </w:pPr>
      <w:r>
        <w:rPr>
          <w:b/>
          <w:u w:val="single"/>
        </w:rPr>
        <w:t xml:space="preserve">E2SSB 5284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44</w:t>
      </w:r>
      <w:r>
        <w:rPr/>
        <w:t xml:space="preserve">.</w:t>
      </w:r>
      <w:r>
        <w:t xml:space="preserve">110</w:t>
      </w:r>
      <w:r>
        <w:rPr/>
        <w:t xml:space="preserve"> and 1995 c 369 s 34 are each amended to read as follows:</w:t>
      </w:r>
    </w:p>
    <w:p>
      <w:pPr>
        <w:spacing w:before="0" w:after="0" w:line="408" w:lineRule="exact"/>
        <w:ind w:left="0" w:right="0" w:firstLine="576"/>
        <w:jc w:val="left"/>
      </w:pPr>
      <w:r>
        <w:rPr/>
        <w:t xml:space="preserve">(1) Smoke detection devices shall be installed inside all dwelling units:</w:t>
      </w:r>
    </w:p>
    <w:p>
      <w:pPr>
        <w:spacing w:before="0" w:after="0" w:line="408" w:lineRule="exact"/>
        <w:ind w:left="0" w:right="0" w:firstLine="576"/>
        <w:jc w:val="left"/>
      </w:pPr>
      <w:r>
        <w:rPr/>
        <w:t xml:space="preserve">(a) Occupied by persons other than the owner on and after December 31, 1981; </w:t>
      </w:r>
      <w:r>
        <w:t>((</w:t>
      </w:r>
      <w:r>
        <w:rPr>
          <w:strike/>
        </w:rPr>
        <w:t xml:space="preserve">or</w:t>
      </w:r>
      <w:r>
        <w:t>))</w:t>
      </w:r>
    </w:p>
    <w:p>
      <w:pPr>
        <w:spacing w:before="0" w:after="0" w:line="408" w:lineRule="exact"/>
        <w:ind w:left="0" w:right="0" w:firstLine="576"/>
        <w:jc w:val="left"/>
      </w:pPr>
      <w:r>
        <w:rPr/>
        <w:t xml:space="preserve">(b) Built or manufactured in this state after December 31, 1980</w:t>
      </w:r>
      <w:r>
        <w:rPr>
          <w:u w:val="single"/>
        </w:rPr>
        <w:t xml:space="preserve">; or</w:t>
      </w:r>
    </w:p>
    <w:p>
      <w:pPr>
        <w:spacing w:before="0" w:after="0" w:line="408" w:lineRule="exact"/>
        <w:ind w:left="0" w:right="0" w:firstLine="576"/>
        <w:jc w:val="left"/>
      </w:pPr>
      <w:r>
        <w:rPr>
          <w:u w:val="single"/>
        </w:rPr>
        <w:t xml:space="preserve">(c) Sold on or after the effective date of this section</w:t>
      </w:r>
      <w:r>
        <w:rPr/>
        <w:t xml:space="preserve">.</w:t>
      </w:r>
    </w:p>
    <w:p>
      <w:pPr>
        <w:spacing w:before="0" w:after="0" w:line="408" w:lineRule="exact"/>
        <w:ind w:left="0" w:right="0" w:firstLine="576"/>
        <w:jc w:val="left"/>
      </w:pPr>
      <w:r>
        <w:rPr/>
        <w:t xml:space="preserve">(2) The smoke detection devices shall be designed, manufactured, and installed inside dwelling units in conformance with:</w:t>
      </w:r>
    </w:p>
    <w:p>
      <w:pPr>
        <w:spacing w:before="0" w:after="0" w:line="408" w:lineRule="exact"/>
        <w:ind w:left="0" w:right="0" w:firstLine="576"/>
        <w:jc w:val="left"/>
      </w:pPr>
      <w:r>
        <w:rPr/>
        <w:t xml:space="preserve">(a) Nationally accepted standards; and</w:t>
      </w:r>
    </w:p>
    <w:p>
      <w:pPr>
        <w:spacing w:before="0" w:after="0" w:line="408" w:lineRule="exact"/>
        <w:ind w:left="0" w:right="0" w:firstLine="576"/>
        <w:jc w:val="left"/>
      </w:pPr>
      <w:r>
        <w:rPr/>
        <w:t xml:space="preserve">(b) As provided by the administrative procedure act, chapter 34.05 RCW, rules and regulations promulgated by the chief of the Washington state patrol, through the director of fire protection.</w:t>
      </w:r>
    </w:p>
    <w:p>
      <w:pPr>
        <w:spacing w:before="0" w:after="0" w:line="408" w:lineRule="exact"/>
        <w:ind w:left="0" w:right="0" w:firstLine="576"/>
        <w:jc w:val="left"/>
      </w:pPr>
      <w:r>
        <w:rPr/>
        <w:t xml:space="preserve">(3) Installation of smoke detection devices shall be the responsibility of the owner. Maintenance of smoke detection devices, including the replacement of batteries where required for the proper operation of the smoke detection device, shall be the responsibility of the tenant, who shall maintain the device as specified by the manufacturer. At the time of a vacancy, the owner shall insure that the smoke detection device is operational prior to the reoccupancy of the dwelling unit.</w:t>
      </w:r>
    </w:p>
    <w:p>
      <w:pPr>
        <w:spacing w:before="0" w:after="0" w:line="408" w:lineRule="exact"/>
        <w:ind w:left="0" w:right="0" w:firstLine="576"/>
        <w:jc w:val="left"/>
      </w:pPr>
      <w:r>
        <w:rPr/>
        <w:t xml:space="preserve">(4)</w:t>
      </w:r>
      <w:r>
        <w:rPr>
          <w:u w:val="single"/>
        </w:rPr>
        <w:t xml:space="preserve">(a) For any dwelling unit sold on or after the effective date of this section that does not have at least one smoke detection device, the seller shall provide at least one smoke detection device in the dwelling unit before the buyer or any other person occupies the dwelling unit following such sale. A violation of this subsection does not affect the transfer of the title, ownership, or possession of the dwelling unit.</w:t>
      </w:r>
    </w:p>
    <w:p>
      <w:pPr>
        <w:spacing w:before="0" w:after="0" w:line="408" w:lineRule="exact"/>
        <w:ind w:left="0" w:right="0" w:firstLine="576"/>
        <w:jc w:val="left"/>
      </w:pPr>
      <w:r>
        <w:rPr>
          <w:u w:val="single"/>
        </w:rPr>
        <w:t xml:space="preserve">(b) Real estate brokers licensed under chapter 18.85 RCW are not liable in any civil, administrative, or other proceeding for the failure of any seller or other property owner to comply with the requirements of this section.</w:t>
      </w:r>
    </w:p>
    <w:p>
      <w:pPr>
        <w:spacing w:before="0" w:after="0" w:line="408" w:lineRule="exact"/>
        <w:ind w:left="0" w:right="0" w:firstLine="576"/>
        <w:jc w:val="left"/>
      </w:pPr>
      <w:r>
        <w:rPr>
          <w:u w:val="single"/>
        </w:rPr>
        <w:t xml:space="preserve">(c) Any person or entity that assists the buyer of a dwelling with installing a smoke detection device, whether they are voluntarily doing so or as a nonprofit, is not liable in any civil, administrative, or other proceeding relating to the installation of the smoke detection device.</w:t>
      </w:r>
    </w:p>
    <w:p>
      <w:pPr>
        <w:spacing w:before="0" w:after="0" w:line="408" w:lineRule="exact"/>
        <w:ind w:left="0" w:right="0" w:firstLine="576"/>
        <w:jc w:val="left"/>
      </w:pPr>
      <w:r>
        <w:rPr>
          <w:u w:val="single"/>
        </w:rPr>
        <w:t xml:space="preserve">(d) Interconnection of smoke detection devices is not required where not already present in buildings undergoing repairs undertaken solely as a condition of sale.</w:t>
      </w:r>
    </w:p>
    <w:p>
      <w:pPr>
        <w:spacing w:before="0" w:after="0" w:line="408" w:lineRule="exact"/>
        <w:ind w:left="0" w:right="0" w:firstLine="576"/>
        <w:jc w:val="left"/>
      </w:pPr>
      <w:r>
        <w:rPr>
          <w:u w:val="single"/>
        </w:rPr>
        <w:t xml:space="preserve">(5)(a) Except as provided in (b) of this subsection (5), a</w:t>
      </w:r>
      <w:r>
        <w:rPr/>
        <w:t xml:space="preserve">ny owner</w:t>
      </w:r>
      <w:r>
        <w:rPr>
          <w:u w:val="single"/>
        </w:rPr>
        <w:t xml:space="preserve">, seller,</w:t>
      </w:r>
      <w:r>
        <w:rPr/>
        <w:t xml:space="preserve"> or tenant failing to comply with this section shall be punished by a fine of not more than two hundred dollars.</w:t>
      </w:r>
    </w:p>
    <w:p>
      <w:pPr>
        <w:spacing w:before="0" w:after="0" w:line="408" w:lineRule="exact"/>
        <w:ind w:left="0" w:right="0" w:firstLine="576"/>
        <w:jc w:val="left"/>
      </w:pPr>
      <w:r>
        <w:t>((</w:t>
      </w:r>
      <w:r>
        <w:rPr>
          <w:strike/>
        </w:rPr>
        <w:t xml:space="preserve">(5)</w:t>
      </w:r>
      <w:r>
        <w:t>))</w:t>
      </w:r>
      <w:r>
        <w:rPr/>
        <w:t xml:space="preserve"> </w:t>
      </w:r>
      <w:r>
        <w:rPr>
          <w:u w:val="single"/>
        </w:rPr>
        <w:t xml:space="preserve">(b) Any owner failing to comply with this section shall be punished by a fine of five thousand dollars if, after such failure, a fire causes property damage, personal injury, or death to a tenant or a member of a tenant's household. All moneys received pursuant to (a) or (b) of this subsection, except for administrative costs for enforcing the fine, shall be deposited into the smoke detection device awareness account created in section 2 of this act. </w:t>
      </w:r>
      <w:r>
        <w:rPr>
          <w:u w:val="single"/>
        </w:rPr>
        <w:t xml:space="preserve">Enforcement shall occur after a fire occurs and when it is evident that the dwelling unit sold on or after the effective date of this section did not have at least one smoke detection device. The following may enforce this subsection:</w:t>
      </w:r>
    </w:p>
    <w:p>
      <w:pPr>
        <w:spacing w:before="0" w:after="0" w:line="408" w:lineRule="exact"/>
        <w:ind w:left="0" w:right="0" w:firstLine="576"/>
        <w:jc w:val="left"/>
      </w:pPr>
      <w:r>
        <w:rPr>
          <w:u w:val="single"/>
        </w:rPr>
        <w:t xml:space="preserve">(i) The chief of the fire department if the dwelling unit is located within a city or town; or</w:t>
      </w:r>
    </w:p>
    <w:p>
      <w:pPr>
        <w:spacing w:before="0" w:after="0" w:line="408" w:lineRule="exact"/>
        <w:ind w:left="0" w:right="0" w:firstLine="576"/>
        <w:jc w:val="left"/>
      </w:pPr>
      <w:r>
        <w:rPr>
          <w:u w:val="single"/>
        </w:rPr>
        <w:t xml:space="preserve">(ii) The county fire marshal or other fire official so designated by the county legislative authority if the dwelling unit is located within unincorporated areas of a county.</w:t>
      </w:r>
    </w:p>
    <w:p>
      <w:pPr>
        <w:spacing w:before="0" w:after="0" w:line="408" w:lineRule="exact"/>
        <w:ind w:left="0" w:right="0" w:firstLine="576"/>
        <w:jc w:val="left"/>
      </w:pPr>
      <w:r>
        <w:rPr>
          <w:u w:val="single"/>
        </w:rPr>
        <w:t xml:space="preserve">(6)</w:t>
      </w:r>
      <w:r>
        <w:rPr/>
        <w:t xml:space="preserve"> For the purposes of this section:</w:t>
      </w:r>
    </w:p>
    <w:p>
      <w:pPr>
        <w:spacing w:before="0" w:after="0" w:line="408" w:lineRule="exact"/>
        <w:ind w:left="0" w:right="0" w:firstLine="576"/>
        <w:jc w:val="left"/>
      </w:pPr>
      <w:r>
        <w:rPr/>
        <w:t xml:space="preserve">(a) "Dwelling unit" means a single unit providing complete, independent living facilities for one or more persons including permanent provisions for living, sleeping, eating, cooking, and sanitation; and</w:t>
      </w:r>
    </w:p>
    <w:p>
      <w:pPr>
        <w:spacing w:before="0" w:after="0" w:line="408" w:lineRule="exact"/>
        <w:ind w:left="0" w:right="0" w:firstLine="576"/>
        <w:jc w:val="left"/>
      </w:pPr>
      <w:r>
        <w:rPr/>
        <w:t xml:space="preserve">(b) "Smoke detection device"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smoke detection device awareness account is created in the custody of the state treasurer. All receipts from fines imposed pursuant to RCW 43.44.110(5) must be deposited into the account. Expenditures from the account may be used only for the purposes of raising public awareness of owners and tenants' duties pertaining to smoke detection devices under RCW 43.44.110 and of the danger to life and property resulting from a failure to comply with those duties and for administrative costs related to enforcement of the fine created in RCW 43.44.110(5)(b). Only the Washington state patrol, through the director of fire protection or the director of fire protection's authorized deputy,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2015 c 110 s 1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w:t>
            </w:r>
            <w:r>
              <w:t>((</w:t>
            </w:r>
            <w:r>
              <w:rPr>
                <w:rFonts w:ascii="Times New Roman" w:hAnsi="Times New Roman"/>
                <w:strike/>
                <w:sz w:val="14"/>
              </w:rPr>
              <w:t xml:space="preserve">alarms</w:t>
            </w:r>
            <w:r>
              <w:t>))</w:t>
            </w:r>
            <w:r>
              <w:rPr>
                <w:rFonts w:ascii="Times New Roman" w:hAnsi="Times New Roman"/>
                <w:sz w:val="14"/>
              </w:rPr>
              <w:t xml:space="preserve"> </w:t>
            </w:r>
            <w:r>
              <w:rPr>
                <w:rFonts w:ascii="Times New Roman" w:hAnsi="Times New Roman"/>
                <w:sz w:val="14"/>
                <w:u w:val="single"/>
              </w:rPr>
              <w:t xml:space="preserve">detection devices</w:t>
            </w:r>
            <w:r>
              <w:rPr>
                <w:rFonts w:ascii="Times New Roman" w:hAnsi="Times New Roman"/>
                <w:sz w:val="14"/>
              </w:rPr>
              <w:t xml:space="preserve">?</w:t>
            </w:r>
          </w:p>
          <w:p>
            <w:pPr>
              <w:spacing w:before="0" w:after="0" w:line="408" w:lineRule="exact"/>
              <w:ind w:left="0" w:right="0" w:firstLine="0"/>
              <w:jc w:val="both"/>
            </w:pPr>
            <w:r>
              <w:rPr>
                <w:rFonts w:ascii="Times New Roman" w:hAnsi="Times New Roman"/>
                <w:sz w:val="14"/>
                <w:u w:val="single"/>
              </w:rPr>
              <w:t xml:space="preserve">(Note: Pursuant to RCW 43.44.110, if the property is not equipped with at least one smoke detection device, at least one must be provided by the seller.)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In making rates for the insurance coverage for dwelling units, insurers shall consider the benefits of fire alarms in their rate making. If the insurer determines a separate fire alarm factor is valid, then an exhibit supporting these changes and any credits or discounts resulting from any such changes must be included in the initial filing supporting such change. An insurer need not file any exhibits or offer any related discounts if it determines that there is no material anticipated change in losses due to the use of such equipment or if any potential discount is not actuarially supported.</w:t>
      </w:r>
    </w:p>
    <w:p>
      <w:pPr>
        <w:spacing w:before="0" w:after="0" w:line="408" w:lineRule="exact"/>
        <w:ind w:left="0" w:right="0" w:firstLine="576"/>
        <w:jc w:val="left"/>
      </w:pPr>
      <w:r>
        <w:rPr/>
        <w:t xml:space="preserve">(2) The commissioner shall report to the appropriate committees of the legislature on any credits or discounts provided on insurance premiums for fire alarms installed in dwelling units. By December 31, 2020, and in compliance with RCW 43.01.036, the commissioner must submit a report to the appropriate committees of the legislature that details the use of discounts prior to and after the effective date of this section, and the type of fire alarm or smoke detection device qualifying for a credit or discount.</w:t>
      </w:r>
    </w:p>
    <w:p>
      <w:pPr>
        <w:spacing w:before="0" w:after="0" w:line="408" w:lineRule="exact"/>
        <w:ind w:left="0" w:right="0" w:firstLine="576"/>
        <w:jc w:val="left"/>
      </w:pPr>
      <w:r>
        <w:rPr/>
        <w:t xml:space="preserve">(3) For the purposes of this section, "dwelling unit" means a residential dwelling of any type, including a single-family residence, apartment, condominium, or cooperative unit.</w:t>
      </w:r>
    </w:p>
    <w:p>
      <w:pPr>
        <w:spacing w:before="0" w:after="0" w:line="408" w:lineRule="exact"/>
        <w:ind w:left="0" w:right="0" w:firstLine="576"/>
        <w:jc w:val="left"/>
      </w:pPr>
      <w:r>
        <w:rPr/>
        <w:t xml:space="preserve">(4) This section applies to rate filings for coverage for dwelling units filed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Greg "Gibby" Gibson home fire safety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effective for real estate transactions entered into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enforcement of the $5,000 fine from the Washington State Patrol to local fire authorities and allows the fine to cover administrative costs related to enforcement.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3f73a2aa243e5" /></Relationships>
</file>