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fcb02e13b48ed" /></Relationships>
</file>

<file path=word/document.xml><?xml version="1.0" encoding="utf-8"?>
<w:document xmlns:w="http://schemas.openxmlformats.org/wordprocessingml/2006/main">
  <w:body>
    <w:p>
      <w:r>
        <w:t>H-4612.1</w:t>
      </w:r>
    </w:p>
    <w:p>
      <w:pPr>
        <w:jc w:val="center"/>
      </w:pPr>
      <w:r>
        <w:t>_______________________________________________</w:t>
      </w:r>
    </w:p>
    <w:p/>
    <w:p>
      <w:pPr>
        <w:jc w:val="center"/>
      </w:pPr>
      <w:r>
        <w:rPr>
          <w:b/>
        </w:rPr>
        <w:t>SECOND SUBSTITUTE HOUSE BILL 2486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 Graves; by request of Uniform Law Commission)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card" has the meaning given in RCW 19.240.010.</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card or gift certificate complying with chapter 19.240 RCW.</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card,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card.</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fifteen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payroll cards,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thirty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seventy and one-half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ninety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thirty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or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ninety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fifty dollars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fifty dollars each. If the report includes items in the aggregate valued under fifty dollars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twelve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shall retain records for ten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one hundred eighty days nor less than sixty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seventy-five dollars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576"/>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thirty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seventy-five dollars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twelve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twelve-month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twelve-month period;</w:t>
      </w:r>
    </w:p>
    <w:p>
      <w:pPr>
        <w:spacing w:before="0" w:after="0" w:line="408" w:lineRule="exact"/>
        <w:ind w:left="0" w:right="0" w:firstLine="576"/>
        <w:jc w:val="left"/>
      </w:pPr>
      <w:r>
        <w:rPr/>
        <w:t xml:space="preserve">(iii) The internet web address of the unclaimed property web 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 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 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 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one hundred eighty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ninety days after a claim is filed under subsection (1) or (4) of this section, the administrator shall allow or deny the claim and give the claimant notice of the decision in a record. If the administrator does not take action on a claim during the ninety 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lesser of the rate set in RCW 82.32.050. Interest begins to accrue when the property is delivered to the administrator and ends on the earlier of the expiration of ten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thirty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five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ten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not earlier than three years after receipt of property presumed abandoned, the administrator may sell the property.</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If a sale held under this section is to be conducted other than on the internet,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seven hundred fifty thousand dollars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treasurer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ninety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w:t>
      </w:r>
    </w:p>
    <w:p>
      <w:pPr>
        <w:spacing w:before="0" w:after="0" w:line="408" w:lineRule="exact"/>
        <w:ind w:left="0" w:right="0" w:firstLine="576"/>
        <w:jc w:val="left"/>
      </w:pPr>
      <w:r>
        <w:rPr/>
        <w:t xml:space="preserve">(b) The administrator reasonably believes the person is entitled to receive the property or payment; and</w:t>
      </w:r>
    </w:p>
    <w:p>
      <w:pPr>
        <w:spacing w:before="0" w:after="0" w:line="408" w:lineRule="exact"/>
        <w:ind w:left="0" w:right="0" w:firstLine="576"/>
        <w:jc w:val="left"/>
      </w:pPr>
      <w:r>
        <w:rPr/>
        <w:t xml:space="preserve">(c) The property has a value of less than two hundred fifty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ninety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ninety-day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thirty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thirty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thirty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sixty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ten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82.32.050(2) from the date the property should have been paid or delivered until the property is paid or delivered.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(6) If a person willfully fails to file a report or to provide written notice to apparent owners as required under this chapter, the administrator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t xml:space="preserve">(7)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(8) The penalties imposed in this section are cumulative.</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thirty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twenty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ninety-day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twenty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1204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an assessment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before the due date of the assessment, including any extension of the due date granted by the administrator, or in the case of a refund or return application, thirty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thirty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PENALTY FOR FAILURE TO ACT IN TIMELY MANNER.</w:t>
      </w:r>
      <w:r>
        <w:t xml:space="preserve">  </w:t>
      </w:r>
      <w:r>
        <w:rPr/>
        <w:t xml:space="preserve">A holder that fails to report, pay, or deliver property within the time prescribed by this chapter shall pay to the administrator interest at the rate set by RCW 82.32.050 on the property or value of the property from the date the property should have been reported, paid, or delivered to the administrator until the date reported,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CIVIL PENALTIES.</w:t>
      </w:r>
      <w:r>
        <w:t xml:space="preserve">  </w:t>
      </w:r>
      <w:r>
        <w:rPr/>
        <w:t xml:space="preserve">(1)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section 1204 of this act, a civil penalty of one thousand dollars for each day the obligation is evaded or the duty is not performed, up to a cumulative maximum amount of twenty-five thousand dollars, plus twenty-five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(2) If a holder makes a fraudulent report under this chapter, the administrator may require the holder to pay to the administrator, in addition to interest under section 1204 of this act, a civil penalty of one thousand dollars for each day from the date the report was made until corrected, up to a cumulative maximum amount of twenty-five thousand dollars, plus twenty-five percent of the amount or value of any property that should have been reported but was not included in the report or was underreported.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INTEREST AND PENALTY.</w:t>
      </w:r>
      <w:r>
        <w:t xml:space="preserve">  </w:t>
      </w:r>
      <w:r>
        <w:rPr/>
        <w:t xml:space="preserve">The administrator: May waive, in whole or in part, interest under section 1204 of this act and penalties under section 1205 of this act.</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twenty-four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 site or in the database required by section 503(3)(b) of this act the name of each apparent owner of property held by the administrator. The administrator may include in published notices, printed publications, telecommunications, the internet, or other media and on the web 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ten-year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c0969b9b0cbb4b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80cd88e2f4ccf" /><Relationship Type="http://schemas.openxmlformats.org/officeDocument/2006/relationships/footer" Target="/word/footer.xml" Id="Rc0969b9b0cbb4b42" /></Relationships>
</file>