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7e2905b8442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5481</w:t>
      </w:r>
    </w:p>
    <w:p>
      <w:pPr>
        <w:jc w:val="center"/>
        <w:spacing w:before="480" w:after="0" w:line="240"/>
      </w:pPr>
      <w:r>
        <w:t xml:space="preserve">Chapter </w:t>
      </w:r>
      <w:r>
        <w:rPr/>
        <w:t xml:space="preserve">292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TRANSPORTATION--TOLLS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2:17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Hill, Litzow, Mullet, Chase, Rivers, Becker, Bailey, Warnick, Rolfes, and Hasegawa)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omnibus tolling customer service reform; and amending RCW 46.63.160 and 47.56.795.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 </w:t>
      </w:r>
    </w:p>
    <w:p>
      <w:pPr>
        <w:spacing w:before="0" w:after="0" w:line="408" w:lineRule="exact"/>
        <w:ind w:left="0" w:right="0" w:firstLine="576"/>
        <w:jc w:val="left"/>
      </w:pPr>
      <w:r>
        <w:rPr/>
        <w:t xml:space="preserve">(5)(a) </w:t>
      </w:r>
      <w:r>
        <w:rPr>
          <w:u w:val="single"/>
        </w:rPr>
        <w:t xml:space="preserve">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u w:val="single"/>
        </w:rPr>
        <w:t xml:space="preserve">(b)(i)</w:t>
      </w:r>
      <w:r>
        <w:rPr/>
        <w:t xml:space="preserve">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w:t>
      </w:r>
      <w:r>
        <w:rPr>
          <w:u w:val="single"/>
        </w:rPr>
        <w:t xml:space="preserve">(ii)</w:t>
      </w:r>
      <w:r>
        <w:rPr/>
        <w:t xml:space="preserve"> of this subsection and the total amount of the civil penalties dismissed. The report must be submitted by December 1st of each year.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During the adjudication process, the alleged violator must have an opportunity to explain mitigating circumstances </w:t>
      </w:r>
      <w:r>
        <w:rPr>
          <w:u w:val="single"/>
        </w:rPr>
        <w:t xml:space="preserve">as to why the toll bill was not timely paid</w:t>
      </w:r>
      <w:r>
        <w:rPr/>
        <w:t xml:space="preserve">.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w:t>
      </w:r>
      <w:r>
        <w:t>((</w:t>
      </w:r>
      <w:r>
        <w:rPr>
          <w:strike/>
        </w:rPr>
        <w:t xml:space="preserve">or</w:t>
      </w:r>
      <w:r>
        <w:t>))</w:t>
      </w:r>
      <w:r>
        <w:rPr>
          <w:u w:val="single"/>
        </w:rPr>
        <w:t xml:space="preserve">, being switched to a different method of toll payment,</w:t>
      </w:r>
      <w:r>
        <w:rPr/>
        <w:t xml:space="preserve"> if the alleged violator did not receive a toll charge bill or notice of civil penalty</w:t>
      </w:r>
      <w:r>
        <w:rPr>
          <w:u w:val="single"/>
        </w:rPr>
        <w:t xml:space="preserve">, or other mitigating circumstances as determined by the adjudicator</w:t>
      </w:r>
      <w:r>
        <w:rPr/>
        <w:t xml:space="preserve"> are </w:t>
      </w:r>
      <w:r>
        <w:rPr>
          <w:u w:val="single"/>
        </w:rPr>
        <w:t xml:space="preserve">deemed</w:t>
      </w:r>
      <w:r>
        <w:rPr/>
        <w:t xml:space="preserve"> valid mitigating circumstances. All of </w:t>
      </w:r>
      <w:r>
        <w:t>((</w:t>
      </w:r>
      <w:r>
        <w:rPr>
          <w:strike/>
        </w:rPr>
        <w:t xml:space="preserve">these</w:t>
      </w:r>
      <w:r>
        <w:t>))</w:t>
      </w:r>
      <w:r>
        <w:rPr/>
        <w:t xml:space="preserve"> </w:t>
      </w:r>
      <w:r>
        <w:rPr>
          <w:u w:val="single"/>
        </w:rPr>
        <w:t xml:space="preserve">the</w:t>
      </w:r>
      <w:r>
        <w:rPr/>
        <w:t xml:space="preserve"> reasons that constitute mitigating circumstances must </w:t>
      </w:r>
      <w:r>
        <w:t>((</w:t>
      </w:r>
      <w:r>
        <w:rPr>
          <w:strike/>
        </w:rPr>
        <w:t xml:space="preserve">occur</w:t>
      </w:r>
      <w:r>
        <w:t>))</w:t>
      </w:r>
      <w:r>
        <w:rPr/>
        <w:t xml:space="preserve"> </w:t>
      </w:r>
      <w:r>
        <w:rPr>
          <w:u w:val="single"/>
        </w:rPr>
        <w:t xml:space="preserve">have occurred</w:t>
      </w:r>
      <w:r>
        <w:rPr/>
        <w:t xml:space="preserve"> within a reasonable time of the alleged toll violation. In response to these circumstances, the adjudicator may reduce or dismiss the civil penalty </w:t>
      </w:r>
      <w:r>
        <w:rPr>
          <w:u w:val="single"/>
        </w:rPr>
        <w:t xml:space="preserve">and associated administrative fees</w:t>
      </w:r>
      <w:r>
        <w:rPr/>
        <w:t xml:space="preserve">.</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w:t>
      </w:r>
      <w:r>
        <w:rPr>
          <w:u w:val="single"/>
        </w:rPr>
        <w:t xml:space="preserve">(i) </w:t>
      </w:r>
      <w:r>
        <w:rPr>
          <w:u w:val="single"/>
        </w:rPr>
        <w:t xml:space="preserve">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u w:val="single"/>
        </w:rPr>
        <w:t xml:space="preserve">(A) Send an electronic mail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u w:val="single"/>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u w:val="single"/>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u w:val="single"/>
        </w:rPr>
        <w:t xml:space="preserve">(d)</w:t>
      </w:r>
      <w:r>
        <w:rPr/>
        <w:t xml:space="preserve">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w:t>
      </w:r>
      <w:r>
        <w:rPr>
          <w:u w:val="single"/>
        </w:rPr>
        <w:t xml:space="preserve">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u w:val="single"/>
        </w:rPr>
        <w:t xml:space="preserve">(12)(a) By June 30, 2016, the department of transportation must</w:t>
      </w:r>
      <w:r>
        <w:rPr>
          <w:u w:val="single"/>
        </w:rPr>
        <w:t xml:space="preserve">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u w:val="single"/>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u w:val="single"/>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u w:val="single"/>
        </w:rPr>
        <w:t xml:space="preserve">(13) When acquiring a new photo toll system, the department of transportation must enable the new system to:</w:t>
      </w:r>
    </w:p>
    <w:p>
      <w:pPr>
        <w:spacing w:before="0" w:after="0" w:line="408" w:lineRule="exact"/>
        <w:ind w:left="0" w:right="0" w:firstLine="576"/>
        <w:jc w:val="left"/>
      </w:pPr>
      <w:r>
        <w:rPr>
          <w:u w:val="single"/>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u w:val="single"/>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u w:val="single"/>
        </w:rPr>
        <w:t xml:space="preserve">(14)</w:t>
      </w:r>
      <w:r>
        <w:rPr/>
        <w:t xml:space="preserve"> Consistent with chapter 34.05 RCW, the department of transportation shall develop rules to implement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hoto toll system" means the system defined in RCW 47.56.010 and 47.46.020.</w:t>
      </w:r>
    </w:p>
    <w:p>
      <w:pPr>
        <w:spacing w:before="0" w:after="0" w:line="408" w:lineRule="exact"/>
        <w:ind w:left="0" w:right="0" w:firstLine="576"/>
        <w:jc w:val="left"/>
      </w:pPr>
      <w:r>
        <w:rPr>
          <w:u w:val="single"/>
        </w:rPr>
        <w:t xml:space="preserve">(b) "Prepaid electronic toll account" means a prepaid toll account linked to a pass or license plate number, including "Good to Go!".</w:t>
      </w:r>
    </w:p>
    <w:p>
      <w:pPr>
        <w:spacing w:before="0" w:after="0" w:line="408" w:lineRule="exact"/>
        <w:ind w:left="0" w:right="0" w:firstLine="576"/>
        <w:jc w:val="left"/>
      </w:pPr>
      <w:r>
        <w:rPr>
          <w:u w:val="single"/>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795</w:t>
      </w:r>
      <w:r>
        <w:rPr/>
        <w:t xml:space="preserve"> and 2010 c 249 s 3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 Aggregate records that do not identify an individual, vehicle, or account may be maintained.</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may pay a photo toll either through a customer-initiated payment or in response to a toll bill; or</w:t>
      </w:r>
    </w:p>
    <w:p>
      <w:pPr>
        <w:spacing w:before="0" w:after="0" w:line="408" w:lineRule="exact"/>
        <w:ind w:left="0" w:right="0" w:firstLine="576"/>
        <w:jc w:val="left"/>
      </w:pPr>
      <w:r>
        <w:rPr/>
        <w:t xml:space="preserve">(c) A customer may pay with cash on toll facilities that have a manual cash collection system.</w:t>
      </w:r>
    </w:p>
    <w:p>
      <w:pPr>
        <w:spacing w:before="0" w:after="0" w:line="408" w:lineRule="exact"/>
        <w:ind w:left="0" w:right="0" w:firstLine="576"/>
        <w:jc w:val="left"/>
      </w:pPr>
      <w:r>
        <w:rPr/>
        <w:t xml:space="preserve">(5)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rPr/>
        <w:t xml:space="preserve">(7) Failure to pay a photo toll by the toll payment due date is a violation for which a notice of civil penalty may be issued under RCW 46.63.160.</w:t>
      </w:r>
    </w:p>
    <w:p>
      <w:pPr>
        <w:spacing w:before="0" w:after="0" w:line="408" w:lineRule="exact"/>
        <w:ind w:left="0" w:right="0" w:firstLine="576"/>
        <w:jc w:val="left"/>
      </w:pPr>
      <w:r>
        <w:rPr>
          <w:u w:val="single"/>
        </w:rPr>
        <w:t xml:space="preserve">(8) For an electronic toll collection system that uses an in-vehicle device, such as a transponder, to identify a particular customer for the purposes of paying an electronic toll from that customer's toll collection account, the department must allow such in-vehicle devices to be offered for sale at vehicle dealers.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cd61a36d1995456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c042a8f43422e" /><Relationship Type="http://schemas.openxmlformats.org/officeDocument/2006/relationships/footer" Target="/word/footer.xml" Id="Rcd61a36d19954566" /></Relationships>
</file>